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33" w:rsidRDefault="00865533" w:rsidP="00865533">
      <w:pPr>
        <w:jc w:val="center"/>
        <w:rPr>
          <w:sz w:val="28"/>
          <w:szCs w:val="28"/>
        </w:rPr>
      </w:pPr>
    </w:p>
    <w:p w:rsidR="002D59EA" w:rsidRPr="00865533" w:rsidRDefault="00095557" w:rsidP="00865533">
      <w:pPr>
        <w:jc w:val="center"/>
        <w:rPr>
          <w:sz w:val="28"/>
          <w:szCs w:val="28"/>
        </w:rPr>
      </w:pPr>
      <w:r w:rsidRPr="00865533">
        <w:rPr>
          <w:b/>
          <w:sz w:val="28"/>
          <w:szCs w:val="28"/>
          <w:u w:val="single"/>
        </w:rPr>
        <w:t>Advance Directives</w:t>
      </w:r>
      <w:r w:rsidR="00865533" w:rsidRPr="00865533">
        <w:rPr>
          <w:b/>
          <w:sz w:val="28"/>
          <w:szCs w:val="28"/>
          <w:u w:val="single"/>
        </w:rPr>
        <w:t>: Psychiatric Issues</w:t>
      </w:r>
    </w:p>
    <w:p w:rsidR="00095557" w:rsidRPr="00865533" w:rsidRDefault="00865533" w:rsidP="00865533">
      <w:pPr>
        <w:jc w:val="center"/>
        <w:rPr>
          <w:b/>
        </w:rPr>
      </w:pPr>
      <w:r w:rsidRPr="00865533">
        <w:rPr>
          <w:b/>
        </w:rPr>
        <w:t>William H. Reid, MD, MPH</w:t>
      </w:r>
    </w:p>
    <w:p w:rsidR="001D2028" w:rsidRDefault="001D2028" w:rsidP="001D2028">
      <w:pPr>
        <w:rPr>
          <w:rFonts w:eastAsia="Times New Roman"/>
        </w:rPr>
      </w:pPr>
    </w:p>
    <w:p w:rsidR="001D2028" w:rsidRDefault="001D2028" w:rsidP="001D2028">
      <w:pPr>
        <w:rPr>
          <w:rFonts w:eastAsia="Times New Roman"/>
        </w:rPr>
      </w:pPr>
      <w:r>
        <w:rPr>
          <w:rFonts w:eastAsia="Times New Roman"/>
          <w:b/>
          <w:bCs/>
        </w:rPr>
        <w:t>First</w:t>
      </w:r>
      <w:r>
        <w:rPr>
          <w:rFonts w:eastAsia="Times New Roman"/>
        </w:rPr>
        <w:t xml:space="preserve">, much of </w:t>
      </w:r>
      <w:r w:rsidR="00550123">
        <w:rPr>
          <w:rFonts w:eastAsia="Times New Roman"/>
        </w:rPr>
        <w:t xml:space="preserve">this issue </w:t>
      </w:r>
      <w:r>
        <w:rPr>
          <w:rFonts w:eastAsia="Times New Roman"/>
        </w:rPr>
        <w:t>is a</w:t>
      </w:r>
      <w:bookmarkStart w:id="0" w:name="_GoBack"/>
      <w:bookmarkEnd w:id="0"/>
      <w:r>
        <w:rPr>
          <w:rFonts w:eastAsia="Times New Roman"/>
        </w:rPr>
        <w:t xml:space="preserve">bout </w:t>
      </w:r>
      <w:r w:rsidRPr="00550123">
        <w:rPr>
          <w:rFonts w:eastAsia="Times New Roman"/>
          <w:u w:val="single"/>
        </w:rPr>
        <w:t>legality</w:t>
      </w:r>
      <w:r>
        <w:rPr>
          <w:rFonts w:eastAsia="Times New Roman"/>
        </w:rPr>
        <w:t xml:space="preserve">, and it must be understood that a health care attorney is </w:t>
      </w:r>
      <w:r w:rsidR="00550123">
        <w:rPr>
          <w:rFonts w:eastAsia="Times New Roman"/>
        </w:rPr>
        <w:t xml:space="preserve">a better </w:t>
      </w:r>
      <w:r>
        <w:rPr>
          <w:rFonts w:eastAsia="Times New Roman"/>
        </w:rPr>
        <w:t>resource</w:t>
      </w:r>
      <w:r w:rsidR="00550123">
        <w:rPr>
          <w:rFonts w:eastAsia="Times New Roman"/>
        </w:rPr>
        <w:t xml:space="preserve"> than I for legal questions.</w:t>
      </w:r>
      <w:r>
        <w:rPr>
          <w:rFonts w:eastAsia="Times New Roman"/>
        </w:rPr>
        <w:t xml:space="preserve"> </w:t>
      </w:r>
      <w:r>
        <w:rPr>
          <w:rFonts w:eastAsia="Times New Roman"/>
          <w:u w:val="single"/>
        </w:rPr>
        <w:t>I don’t give legal advice</w:t>
      </w:r>
      <w:r>
        <w:rPr>
          <w:rFonts w:eastAsia="Times New Roman"/>
        </w:rPr>
        <w:t>. (</w:t>
      </w:r>
      <w:r w:rsidR="009D2AE8">
        <w:rPr>
          <w:rFonts w:eastAsia="Times New Roman"/>
        </w:rPr>
        <w:t>T</w:t>
      </w:r>
      <w:r>
        <w:rPr>
          <w:rFonts w:eastAsia="Times New Roman"/>
        </w:rPr>
        <w:t xml:space="preserve">here are health care lawyers who </w:t>
      </w:r>
      <w:r w:rsidR="009D2AE8">
        <w:rPr>
          <w:rFonts w:eastAsia="Times New Roman"/>
        </w:rPr>
        <w:t xml:space="preserve">will </w:t>
      </w:r>
      <w:r>
        <w:rPr>
          <w:rFonts w:eastAsia="Times New Roman"/>
        </w:rPr>
        <w:t>happ</w:t>
      </w:r>
      <w:r w:rsidR="009D2AE8">
        <w:rPr>
          <w:rFonts w:eastAsia="Times New Roman"/>
        </w:rPr>
        <w:t>ily</w:t>
      </w:r>
      <w:r>
        <w:rPr>
          <w:rFonts w:eastAsia="Times New Roman"/>
        </w:rPr>
        <w:t xml:space="preserve"> give a talk or class to </w:t>
      </w:r>
      <w:r w:rsidR="009D2AE8">
        <w:rPr>
          <w:rFonts w:eastAsia="Times New Roman"/>
        </w:rPr>
        <w:t xml:space="preserve">trainees </w:t>
      </w:r>
      <w:r>
        <w:rPr>
          <w:rFonts w:eastAsia="Times New Roman"/>
        </w:rPr>
        <w:t xml:space="preserve">about such topics, perhaps </w:t>
      </w:r>
      <w:r w:rsidR="009D2AE8">
        <w:rPr>
          <w:rFonts w:eastAsia="Times New Roman"/>
        </w:rPr>
        <w:t xml:space="preserve">a </w:t>
      </w:r>
      <w:r>
        <w:rPr>
          <w:rFonts w:eastAsia="Times New Roman"/>
        </w:rPr>
        <w:t xml:space="preserve">hospital’s </w:t>
      </w:r>
      <w:r w:rsidR="009D2AE8">
        <w:rPr>
          <w:rFonts w:eastAsia="Times New Roman"/>
        </w:rPr>
        <w:t>own attorney</w:t>
      </w:r>
      <w:r>
        <w:rPr>
          <w:rFonts w:eastAsia="Times New Roman"/>
        </w:rPr>
        <w:t xml:space="preserve">; they have considerable training and experience with advance directives, though </w:t>
      </w:r>
      <w:r w:rsidR="009D2AE8">
        <w:rPr>
          <w:rFonts w:eastAsia="Times New Roman"/>
        </w:rPr>
        <w:t xml:space="preserve">sometimes </w:t>
      </w:r>
      <w:r>
        <w:rPr>
          <w:rFonts w:eastAsia="Times New Roman"/>
        </w:rPr>
        <w:t xml:space="preserve">not with psychiatric ones or </w:t>
      </w:r>
      <w:r w:rsidR="009D2AE8">
        <w:rPr>
          <w:rFonts w:eastAsia="Times New Roman"/>
        </w:rPr>
        <w:t xml:space="preserve">mental </w:t>
      </w:r>
      <w:r>
        <w:rPr>
          <w:rFonts w:eastAsia="Times New Roman"/>
        </w:rPr>
        <w:t>patients.)</w:t>
      </w:r>
    </w:p>
    <w:p w:rsidR="001D2028" w:rsidRDefault="001D2028" w:rsidP="001D2028">
      <w:pPr>
        <w:rPr>
          <w:rFonts w:eastAsia="Times New Roman"/>
        </w:rPr>
      </w:pPr>
    </w:p>
    <w:p w:rsidR="001D2028" w:rsidRDefault="001D2028" w:rsidP="001D2028">
      <w:pPr>
        <w:rPr>
          <w:rFonts w:eastAsia="Times New Roman"/>
        </w:rPr>
      </w:pPr>
      <w:r>
        <w:rPr>
          <w:rFonts w:eastAsia="Times New Roman"/>
          <w:b/>
          <w:bCs/>
        </w:rPr>
        <w:t>Second</w:t>
      </w:r>
      <w:r>
        <w:rPr>
          <w:rFonts w:eastAsia="Times New Roman"/>
        </w:rPr>
        <w:t xml:space="preserve">, </w:t>
      </w:r>
      <w:r>
        <w:rPr>
          <w:rFonts w:eastAsia="Times New Roman"/>
          <w:u w:val="single"/>
        </w:rPr>
        <w:t>advance directives are not limited to terminal decisions or care</w:t>
      </w:r>
      <w:r>
        <w:rPr>
          <w:rFonts w:eastAsia="Times New Roman"/>
        </w:rPr>
        <w:t xml:space="preserve">. Many patients, for example, have advance directives regarding psychiatric treatments such as ECT. </w:t>
      </w:r>
    </w:p>
    <w:p w:rsidR="001D2028" w:rsidRDefault="001D2028" w:rsidP="001D2028">
      <w:pPr>
        <w:rPr>
          <w:rFonts w:eastAsia="Times New Roman"/>
        </w:rPr>
      </w:pPr>
    </w:p>
    <w:p w:rsidR="001D2028" w:rsidRDefault="001D2028" w:rsidP="001D2028">
      <w:pPr>
        <w:rPr>
          <w:rFonts w:eastAsia="Times New Roman"/>
        </w:rPr>
      </w:pPr>
      <w:r>
        <w:rPr>
          <w:rFonts w:eastAsia="Times New Roman"/>
          <w:b/>
          <w:bCs/>
        </w:rPr>
        <w:t>Third</w:t>
      </w:r>
      <w:r>
        <w:rPr>
          <w:rFonts w:eastAsia="Times New Roman"/>
        </w:rPr>
        <w:t xml:space="preserve">, </w:t>
      </w:r>
      <w:r>
        <w:rPr>
          <w:rFonts w:eastAsia="Times New Roman"/>
          <w:u w:val="single"/>
        </w:rPr>
        <w:t>an advance directive is not the same as a health care power of attorney</w:t>
      </w:r>
      <w:r>
        <w:rPr>
          <w:rFonts w:eastAsia="Times New Roman"/>
        </w:rPr>
        <w:t xml:space="preserve"> or other substitute decision document unless that is the advance directive’s purpose (the two are usually quite separate). In fact, they are kind of opposites: An advance directive expresses the </w:t>
      </w:r>
      <w:r>
        <w:rPr>
          <w:rFonts w:eastAsia="Times New Roman"/>
          <w:u w:val="single"/>
        </w:rPr>
        <w:t>patient’s</w:t>
      </w:r>
      <w:r>
        <w:rPr>
          <w:rFonts w:eastAsia="Times New Roman"/>
        </w:rPr>
        <w:t xml:space="preserve"> instructions, while a power of attorney (</w:t>
      </w:r>
      <w:r w:rsidR="00D4259C">
        <w:rPr>
          <w:rFonts w:eastAsia="Times New Roman"/>
        </w:rPr>
        <w:t>or</w:t>
      </w:r>
      <w:r>
        <w:rPr>
          <w:rFonts w:eastAsia="Times New Roman"/>
        </w:rPr>
        <w:t xml:space="preserve"> similar document) allows </w:t>
      </w:r>
      <w:r>
        <w:rPr>
          <w:rFonts w:eastAsia="Times New Roman"/>
          <w:u w:val="single"/>
        </w:rPr>
        <w:t>someone else</w:t>
      </w:r>
      <w:r>
        <w:rPr>
          <w:rFonts w:eastAsia="Times New Roman"/>
        </w:rPr>
        <w:t xml:space="preserve"> to give the instructions. </w:t>
      </w:r>
    </w:p>
    <w:p w:rsidR="001D2028" w:rsidRDefault="001D2028" w:rsidP="001D2028">
      <w:pPr>
        <w:rPr>
          <w:rFonts w:eastAsia="Times New Roman"/>
        </w:rPr>
      </w:pPr>
    </w:p>
    <w:p w:rsidR="001D2028" w:rsidRDefault="001D2028" w:rsidP="001D2028">
      <w:pPr>
        <w:rPr>
          <w:rFonts w:eastAsia="Times New Roman"/>
        </w:rPr>
      </w:pPr>
      <w:r>
        <w:rPr>
          <w:rFonts w:eastAsia="Times New Roman"/>
          <w:b/>
          <w:bCs/>
        </w:rPr>
        <w:t>Fourth</w:t>
      </w:r>
      <w:r>
        <w:rPr>
          <w:rFonts w:eastAsia="Times New Roman"/>
        </w:rPr>
        <w:t xml:space="preserve">, the purpose of an advance directive is to allow a </w:t>
      </w:r>
      <w:r>
        <w:rPr>
          <w:rFonts w:eastAsia="Times New Roman"/>
          <w:u w:val="single"/>
        </w:rPr>
        <w:t>competent</w:t>
      </w:r>
      <w:r>
        <w:rPr>
          <w:rFonts w:eastAsia="Times New Roman"/>
        </w:rPr>
        <w:t xml:space="preserve"> person to make decisions about what should happen to that person if he/she becomes </w:t>
      </w:r>
      <w:r w:rsidR="002579D4">
        <w:rPr>
          <w:rFonts w:eastAsia="Times New Roman"/>
        </w:rPr>
        <w:t>incapacitated/</w:t>
      </w:r>
      <w:r>
        <w:rPr>
          <w:rFonts w:eastAsia="Times New Roman"/>
        </w:rPr>
        <w:t xml:space="preserve">incompetent </w:t>
      </w:r>
      <w:r>
        <w:rPr>
          <w:rFonts w:eastAsia="Times New Roman"/>
          <w:u w:val="single"/>
        </w:rPr>
        <w:t>relative to that decision</w:t>
      </w:r>
      <w:r>
        <w:rPr>
          <w:rFonts w:eastAsia="Times New Roman"/>
        </w:rPr>
        <w:t xml:space="preserve">. That means that the person must be sufficiently </w:t>
      </w:r>
      <w:r>
        <w:rPr>
          <w:rFonts w:eastAsia="Times New Roman"/>
          <w:u w:val="single"/>
        </w:rPr>
        <w:t>competent</w:t>
      </w:r>
      <w:r>
        <w:rPr>
          <w:rFonts w:eastAsia="Times New Roman"/>
        </w:rPr>
        <w:t xml:space="preserve"> </w:t>
      </w:r>
      <w:r>
        <w:rPr>
          <w:rFonts w:eastAsia="Times New Roman"/>
        </w:rPr>
        <w:t xml:space="preserve">relative to the topic </w:t>
      </w:r>
      <w:r>
        <w:rPr>
          <w:rFonts w:eastAsia="Times New Roman"/>
        </w:rPr>
        <w:t xml:space="preserve">when the directive is properly created (“executed”) and must </w:t>
      </w:r>
      <w:r w:rsidR="000D2D27" w:rsidRPr="000D2D27">
        <w:rPr>
          <w:rFonts w:eastAsia="Times New Roman"/>
          <w:u w:val="single"/>
        </w:rPr>
        <w:t>lack capacity/competency</w:t>
      </w:r>
      <w:r w:rsidR="000D2D27">
        <w:rPr>
          <w:rFonts w:eastAsia="Times New Roman"/>
        </w:rPr>
        <w:t xml:space="preserve"> </w:t>
      </w:r>
      <w:r>
        <w:rPr>
          <w:rFonts w:eastAsia="Times New Roman"/>
        </w:rPr>
        <w:t xml:space="preserve">relative to the topic </w:t>
      </w:r>
      <w:r>
        <w:rPr>
          <w:rFonts w:eastAsia="Times New Roman"/>
        </w:rPr>
        <w:t>when the directive is invoked. In addition, since advance directives are a form of consent (usually a negative form, such as a refusal of care), four issues immediately arise:</w:t>
      </w:r>
    </w:p>
    <w:p w:rsidR="001D2028" w:rsidRDefault="001D2028" w:rsidP="001D2028">
      <w:pPr>
        <w:rPr>
          <w:rFonts w:eastAsia="Times New Roman"/>
        </w:rPr>
      </w:pPr>
      <w:r>
        <w:rPr>
          <w:rFonts w:eastAsia="Times New Roman"/>
        </w:rPr>
        <w:t>     (a) All of the elements of consent must be present (knowledge, competency to use that knowledge, and freedom from coercion—voluntariness) when the directive is executed/signed. </w:t>
      </w:r>
    </w:p>
    <w:p w:rsidR="001D2028" w:rsidRDefault="001D2028" w:rsidP="001D2028">
      <w:pPr>
        <w:rPr>
          <w:rFonts w:eastAsia="Times New Roman"/>
        </w:rPr>
      </w:pPr>
      <w:r>
        <w:rPr>
          <w:rFonts w:eastAsia="Times New Roman"/>
        </w:rPr>
        <w:t xml:space="preserve">     (b) The threshold for competency to </w:t>
      </w:r>
      <w:r w:rsidRPr="000D2D27">
        <w:rPr>
          <w:rFonts w:eastAsia="Times New Roman"/>
          <w:u w:val="single"/>
        </w:rPr>
        <w:t>refuse</w:t>
      </w:r>
      <w:r>
        <w:rPr>
          <w:rFonts w:eastAsia="Times New Roman"/>
        </w:rPr>
        <w:t xml:space="preserve"> care is </w:t>
      </w:r>
      <w:r w:rsidR="000D2D27">
        <w:rPr>
          <w:rFonts w:eastAsia="Times New Roman"/>
        </w:rPr>
        <w:t xml:space="preserve">usually </w:t>
      </w:r>
      <w:r>
        <w:rPr>
          <w:rFonts w:eastAsia="Times New Roman"/>
        </w:rPr>
        <w:t xml:space="preserve">high, since </w:t>
      </w:r>
      <w:r w:rsidR="000D2D27">
        <w:rPr>
          <w:rFonts w:eastAsia="Times New Roman"/>
        </w:rPr>
        <w:t xml:space="preserve">absence of </w:t>
      </w:r>
      <w:r>
        <w:rPr>
          <w:rFonts w:eastAsia="Times New Roman"/>
        </w:rPr>
        <w:t xml:space="preserve">care may well </w:t>
      </w:r>
      <w:r w:rsidR="000D2D27">
        <w:rPr>
          <w:rFonts w:eastAsia="Times New Roman"/>
        </w:rPr>
        <w:t xml:space="preserve">have permanent </w:t>
      </w:r>
      <w:r>
        <w:rPr>
          <w:rFonts w:eastAsia="Times New Roman"/>
        </w:rPr>
        <w:t>and</w:t>
      </w:r>
      <w:r w:rsidR="000D2D27">
        <w:rPr>
          <w:rFonts w:eastAsia="Times New Roman"/>
        </w:rPr>
        <w:t>/or</w:t>
      </w:r>
      <w:r>
        <w:rPr>
          <w:rFonts w:eastAsia="Times New Roman"/>
        </w:rPr>
        <w:t xml:space="preserve"> life threatening</w:t>
      </w:r>
      <w:r w:rsidR="000D2D27">
        <w:rPr>
          <w:rFonts w:eastAsia="Times New Roman"/>
        </w:rPr>
        <w:t xml:space="preserve"> consequences</w:t>
      </w:r>
      <w:r>
        <w:rPr>
          <w:rFonts w:eastAsia="Times New Roman"/>
        </w:rPr>
        <w:t>. </w:t>
      </w:r>
    </w:p>
    <w:p w:rsidR="001D2028" w:rsidRDefault="001D2028" w:rsidP="001D2028">
      <w:pPr>
        <w:rPr>
          <w:rFonts w:eastAsia="Times New Roman"/>
        </w:rPr>
      </w:pPr>
      <w:r>
        <w:rPr>
          <w:rFonts w:eastAsia="Times New Roman"/>
        </w:rPr>
        <w:t xml:space="preserve">     (c) The threshold for competency to </w:t>
      </w:r>
      <w:r w:rsidRPr="000D2D27">
        <w:rPr>
          <w:rFonts w:eastAsia="Times New Roman"/>
          <w:u w:val="single"/>
        </w:rPr>
        <w:t>accept</w:t>
      </w:r>
      <w:r>
        <w:rPr>
          <w:rFonts w:eastAsia="Times New Roman"/>
        </w:rPr>
        <w:t xml:space="preserve"> care (such as </w:t>
      </w:r>
      <w:r w:rsidR="00DF687E">
        <w:rPr>
          <w:rFonts w:eastAsia="Times New Roman"/>
        </w:rPr>
        <w:t xml:space="preserve">lifesaving care or </w:t>
      </w:r>
      <w:r>
        <w:rPr>
          <w:rFonts w:eastAsia="Times New Roman"/>
        </w:rPr>
        <w:t xml:space="preserve">ECT) </w:t>
      </w:r>
      <w:r w:rsidR="000D2D27">
        <w:rPr>
          <w:rFonts w:eastAsia="Times New Roman"/>
        </w:rPr>
        <w:t>is often</w:t>
      </w:r>
      <w:r>
        <w:rPr>
          <w:rFonts w:eastAsia="Times New Roman"/>
        </w:rPr>
        <w:t xml:space="preserve"> very low, especially if accepting care would </w:t>
      </w:r>
      <w:r w:rsidR="008975A1">
        <w:rPr>
          <w:rFonts w:eastAsia="Times New Roman"/>
        </w:rPr>
        <w:t xml:space="preserve">delay death or </w:t>
      </w:r>
      <w:r>
        <w:rPr>
          <w:rFonts w:eastAsia="Times New Roman"/>
        </w:rPr>
        <w:t xml:space="preserve">prevent </w:t>
      </w:r>
      <w:r w:rsidR="008975A1">
        <w:rPr>
          <w:rFonts w:eastAsia="Times New Roman"/>
        </w:rPr>
        <w:t>other serious consequences</w:t>
      </w:r>
      <w:r>
        <w:rPr>
          <w:rFonts w:eastAsia="Times New Roman"/>
        </w:rPr>
        <w:t>. (See below.)</w:t>
      </w:r>
    </w:p>
    <w:p w:rsidR="001D2028" w:rsidRDefault="001D2028" w:rsidP="001D2028">
      <w:pPr>
        <w:rPr>
          <w:rFonts w:eastAsia="Times New Roman"/>
        </w:rPr>
      </w:pPr>
      <w:r>
        <w:rPr>
          <w:rFonts w:eastAsia="Times New Roman"/>
        </w:rPr>
        <w:t xml:space="preserve">     (d) </w:t>
      </w:r>
      <w:r w:rsidRPr="008975A1">
        <w:rPr>
          <w:rFonts w:eastAsia="Times New Roman"/>
          <w:u w:val="single"/>
        </w:rPr>
        <w:t>The patient</w:t>
      </w:r>
      <w:r>
        <w:rPr>
          <w:rFonts w:eastAsia="Times New Roman"/>
        </w:rPr>
        <w:t xml:space="preserve"> (and only the patient, except for a judge) </w:t>
      </w:r>
      <w:r>
        <w:rPr>
          <w:rFonts w:eastAsia="Times New Roman"/>
          <w:u w:val="single"/>
        </w:rPr>
        <w:t>can reverse the advance directive at any time</w:t>
      </w:r>
      <w:r>
        <w:rPr>
          <w:rFonts w:eastAsia="Times New Roman"/>
        </w:rPr>
        <w:t xml:space="preserve">. In </w:t>
      </w:r>
      <w:r w:rsidR="00550123">
        <w:rPr>
          <w:rFonts w:eastAsia="Times New Roman"/>
        </w:rPr>
        <w:t xml:space="preserve">theory, </w:t>
      </w:r>
      <w:r>
        <w:rPr>
          <w:rFonts w:eastAsia="Times New Roman"/>
        </w:rPr>
        <w:t>the patient should be competent to make a reversal decision, but in practice, when the directive involves terminal or risky care, clinicians and hospitals accept the reversal no matter how the patient requests it (for example, if a patient asks for resuscitation at the last moment even though delirious). </w:t>
      </w:r>
    </w:p>
    <w:p w:rsidR="00550123" w:rsidRDefault="00550123" w:rsidP="001D2028">
      <w:pPr>
        <w:rPr>
          <w:rFonts w:eastAsia="Times New Roman"/>
        </w:rPr>
      </w:pPr>
      <w:r>
        <w:rPr>
          <w:rFonts w:eastAsia="Times New Roman"/>
        </w:rPr>
        <w:tab/>
        <w:t xml:space="preserve">NOTE that neither patients nor clinicians </w:t>
      </w:r>
      <w:r>
        <w:rPr>
          <w:rFonts w:eastAsia="Times New Roman"/>
        </w:rPr>
        <w:t xml:space="preserve">are allowed, in most US jurisdictions, to collude </w:t>
      </w:r>
      <w:r>
        <w:rPr>
          <w:rFonts w:eastAsia="Times New Roman"/>
        </w:rPr>
        <w:t xml:space="preserve">with each other </w:t>
      </w:r>
      <w:r>
        <w:rPr>
          <w:rFonts w:eastAsia="Times New Roman"/>
        </w:rPr>
        <w:t xml:space="preserve">to end </w:t>
      </w:r>
      <w:r w:rsidR="00DF687E">
        <w:rPr>
          <w:rFonts w:eastAsia="Times New Roman"/>
        </w:rPr>
        <w:t xml:space="preserve">the patients’ </w:t>
      </w:r>
      <w:r w:rsidR="00853EFD">
        <w:rPr>
          <w:rFonts w:eastAsia="Times New Roman"/>
        </w:rPr>
        <w:t>lives</w:t>
      </w:r>
      <w:r>
        <w:rPr>
          <w:rFonts w:eastAsia="Times New Roman"/>
        </w:rPr>
        <w:t xml:space="preserve">, but </w:t>
      </w:r>
      <w:r w:rsidR="00DF687E">
        <w:rPr>
          <w:rFonts w:eastAsia="Times New Roman"/>
        </w:rPr>
        <w:t xml:space="preserve">patients </w:t>
      </w:r>
      <w:r>
        <w:rPr>
          <w:rFonts w:eastAsia="Times New Roman"/>
        </w:rPr>
        <w:t>may</w:t>
      </w:r>
      <w:r w:rsidR="00853EFD">
        <w:rPr>
          <w:rFonts w:eastAsia="Times New Roman"/>
        </w:rPr>
        <w:t xml:space="preserve">, under conditions of a proper advance directive, require a clinician </w:t>
      </w:r>
      <w:r>
        <w:rPr>
          <w:rFonts w:eastAsia="Times New Roman"/>
        </w:rPr>
        <w:t>to limit</w:t>
      </w:r>
      <w:r w:rsidR="00853EFD">
        <w:rPr>
          <w:rFonts w:eastAsia="Times New Roman"/>
        </w:rPr>
        <w:t>, adjust</w:t>
      </w:r>
      <w:r>
        <w:rPr>
          <w:rFonts w:eastAsia="Times New Roman"/>
        </w:rPr>
        <w:t xml:space="preserve"> or stop </w:t>
      </w:r>
      <w:r w:rsidR="00F952C0">
        <w:rPr>
          <w:rFonts w:eastAsia="Times New Roman"/>
        </w:rPr>
        <w:t>care/</w:t>
      </w:r>
      <w:r>
        <w:rPr>
          <w:rFonts w:eastAsia="Times New Roman"/>
        </w:rPr>
        <w:t>treatment.</w:t>
      </w:r>
    </w:p>
    <w:p w:rsidR="001D2028" w:rsidRDefault="001B5EB5" w:rsidP="001D2028">
      <w:pPr>
        <w:rPr>
          <w:rFonts w:eastAsia="Times New Roman"/>
        </w:rPr>
      </w:pPr>
      <w:r>
        <w:rPr>
          <w:rFonts w:eastAsia="Times New Roman"/>
        </w:rPr>
        <w:tab/>
        <w:t xml:space="preserve">NOTE that in cases of (or similar to) advance directive for ECT, the purpose of the directive is to establish a valid consent when some incapacity/incompetency is anticipated. Thus, for example,  a competent patient who knows that ECT is likely to be helpful, but who wants to guard against being deprived of ECT when she is psychotic or morbidly depressed, can make a competent, knowing and voluntary consent in advance. If she later attempts to refuse while believed to be incompetent, a decision </w:t>
      </w:r>
      <w:r w:rsidR="00725D6F">
        <w:rPr>
          <w:rFonts w:eastAsia="Times New Roman"/>
        </w:rPr>
        <w:t xml:space="preserve">must be made as to whether or not that later refusal is </w:t>
      </w:r>
      <w:r w:rsidR="00725D6F">
        <w:rPr>
          <w:rFonts w:eastAsia="Times New Roman"/>
        </w:rPr>
        <w:lastRenderedPageBreak/>
        <w:t>valid (i.e., has all the components of valid refusal). (In practice, such advance directives are more likely to be intended to protect against denial of ECT in jurisdictions that broadly restrict it.)</w:t>
      </w:r>
      <w:r>
        <w:rPr>
          <w:rFonts w:eastAsia="Times New Roman"/>
        </w:rPr>
        <w:t xml:space="preserve"> </w:t>
      </w:r>
    </w:p>
    <w:p w:rsidR="001B5EB5" w:rsidRDefault="001B5EB5" w:rsidP="001D2028">
      <w:pPr>
        <w:rPr>
          <w:rFonts w:eastAsia="Times New Roman"/>
        </w:rPr>
      </w:pPr>
    </w:p>
    <w:p w:rsidR="001D2028" w:rsidRDefault="001D2028" w:rsidP="001D2028">
      <w:pPr>
        <w:rPr>
          <w:rFonts w:eastAsia="Times New Roman"/>
        </w:rPr>
      </w:pPr>
      <w:r>
        <w:rPr>
          <w:rFonts w:eastAsia="Times New Roman"/>
          <w:b/>
          <w:bCs/>
        </w:rPr>
        <w:t>Fifth</w:t>
      </w:r>
      <w:r>
        <w:rPr>
          <w:rFonts w:eastAsia="Times New Roman"/>
        </w:rPr>
        <w:t>, to be legally binding on clinicians and facilities, the directive must be properly executed. The process is fairly simple, but I don’t have the legal details. I don’t believe it requires a lawyer in</w:t>
      </w:r>
      <w:r w:rsidR="009D2AE8">
        <w:rPr>
          <w:rFonts w:eastAsia="Times New Roman"/>
        </w:rPr>
        <w:t xml:space="preserve"> Texas, but the correct format</w:t>
      </w:r>
      <w:r>
        <w:rPr>
          <w:rFonts w:eastAsia="Times New Roman"/>
        </w:rPr>
        <w:t xml:space="preserve"> must be followed. Advance directive forms are easily available online, at all hospitals and from many doctors’ offices. One or more witnesses is necessary (perhaps also a physician). Once created, it’s a good idea to give a copy to one’s doctors, relatives, and perhaps attorney. </w:t>
      </w:r>
    </w:p>
    <w:p w:rsidR="001D2028" w:rsidRDefault="001D2028" w:rsidP="001D2028">
      <w:pPr>
        <w:rPr>
          <w:rFonts w:eastAsia="Times New Roman"/>
        </w:rPr>
      </w:pPr>
    </w:p>
    <w:p w:rsidR="001D2028" w:rsidRDefault="001D2028" w:rsidP="001D2028">
      <w:pPr>
        <w:rPr>
          <w:rFonts w:eastAsia="Times New Roman"/>
        </w:rPr>
      </w:pPr>
      <w:r>
        <w:rPr>
          <w:rFonts w:eastAsia="Times New Roman"/>
          <w:b/>
          <w:bCs/>
        </w:rPr>
        <w:t>Sixth</w:t>
      </w:r>
      <w:r>
        <w:rPr>
          <w:rFonts w:eastAsia="Times New Roman"/>
        </w:rPr>
        <w:t xml:space="preserve"> and finally, a properly executed advance directive is legally binding on clinicians, caregivers, medical facilities, and others (including relatives) </w:t>
      </w:r>
      <w:r>
        <w:rPr>
          <w:rFonts w:eastAsia="Times New Roman"/>
          <w:u w:val="single"/>
        </w:rPr>
        <w:t>provided they know (or should know) that it exists</w:t>
      </w:r>
      <w:r>
        <w:rPr>
          <w:rFonts w:eastAsia="Times New Roman"/>
        </w:rPr>
        <w:t xml:space="preserve">. They are usually placed on/at the front of the chart, pop up in EMRs, etc. Patients admitted to hospitals (or their relatives) are routinely asked whether or not they have an advance directive of any kind. </w:t>
      </w:r>
      <w:r>
        <w:rPr>
          <w:rFonts w:eastAsia="Times New Roman"/>
          <w:u w:val="single"/>
        </w:rPr>
        <w:t>It is probably a crime (but perhaps a minor one) for a clinician or facility to knowingly act counter to a properly executed advance directive</w:t>
      </w:r>
      <w:r>
        <w:rPr>
          <w:rFonts w:eastAsia="Times New Roman"/>
        </w:rPr>
        <w:t>. </w:t>
      </w:r>
      <w:r>
        <w:rPr>
          <w:rFonts w:eastAsia="Times New Roman"/>
        </w:rPr>
        <w:br/>
      </w:r>
      <w:r>
        <w:rPr>
          <w:rFonts w:eastAsia="Times New Roman"/>
        </w:rPr>
        <w:br/>
      </w:r>
    </w:p>
    <w:p w:rsidR="00865533" w:rsidRPr="00865533" w:rsidRDefault="00865533" w:rsidP="00865533">
      <w:pPr>
        <w:jc w:val="right"/>
        <w:rPr>
          <w:rFonts w:eastAsia="Times New Roman"/>
          <w:sz w:val="18"/>
          <w:szCs w:val="18"/>
        </w:rPr>
      </w:pPr>
      <w:r>
        <w:rPr>
          <w:rFonts w:eastAsia="Times New Roman"/>
          <w:sz w:val="18"/>
          <w:szCs w:val="18"/>
        </w:rPr>
        <w:fldChar w:fldCharType="begin"/>
      </w:r>
      <w:r>
        <w:rPr>
          <w:rFonts w:eastAsia="Times New Roman"/>
          <w:sz w:val="18"/>
          <w:szCs w:val="18"/>
        </w:rPr>
        <w:instrText xml:space="preserve"> FILENAME   \* MERGEFORMAT </w:instrText>
      </w:r>
      <w:r>
        <w:rPr>
          <w:rFonts w:eastAsia="Times New Roman"/>
          <w:sz w:val="18"/>
          <w:szCs w:val="18"/>
        </w:rPr>
        <w:fldChar w:fldCharType="separate"/>
      </w:r>
      <w:r>
        <w:rPr>
          <w:rFonts w:eastAsia="Times New Roman"/>
          <w:noProof/>
          <w:sz w:val="18"/>
          <w:szCs w:val="18"/>
        </w:rPr>
        <w:t>Advance Directives for Slides 042020.docx</w:t>
      </w:r>
      <w:r>
        <w:rPr>
          <w:rFonts w:eastAsia="Times New Roman"/>
          <w:sz w:val="18"/>
          <w:szCs w:val="18"/>
        </w:rPr>
        <w:fldChar w:fldCharType="end"/>
      </w:r>
    </w:p>
    <w:p w:rsidR="00095557" w:rsidRDefault="00095557"/>
    <w:sectPr w:rsidR="00095557" w:rsidSect="005F01A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CD" w:rsidRDefault="00E369CD" w:rsidP="00295B8A">
      <w:r>
        <w:separator/>
      </w:r>
    </w:p>
  </w:endnote>
  <w:endnote w:type="continuationSeparator" w:id="0">
    <w:p w:rsidR="00E369CD" w:rsidRDefault="00E369CD" w:rsidP="0029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CD" w:rsidRDefault="00E369CD" w:rsidP="00295B8A">
      <w:r>
        <w:separator/>
      </w:r>
    </w:p>
  </w:footnote>
  <w:footnote w:type="continuationSeparator" w:id="0">
    <w:p w:rsidR="00E369CD" w:rsidRDefault="00E369CD" w:rsidP="00295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8A" w:rsidRDefault="00295B8A">
    <w:pPr>
      <w:pStyle w:val="Header"/>
    </w:pPr>
    <w:r>
      <w:t>Advance Directives: Psychiatric Topics</w:t>
    </w:r>
    <w:r>
      <w:tab/>
    </w:r>
    <w:r>
      <w:tab/>
    </w:r>
    <w:r w:rsidR="00865533">
      <w:fldChar w:fldCharType="begin"/>
    </w:r>
    <w:r w:rsidR="00865533">
      <w:instrText xml:space="preserve"> PAGE   \* MERGEFORMAT </w:instrText>
    </w:r>
    <w:r w:rsidR="00865533">
      <w:fldChar w:fldCharType="separate"/>
    </w:r>
    <w:r w:rsidR="00865533">
      <w:rPr>
        <w:noProof/>
      </w:rPr>
      <w:t>2</w:t>
    </w:r>
    <w:r w:rsidR="00865533">
      <w:rPr>
        <w:noProof/>
      </w:rPr>
      <w:fldChar w:fldCharType="end"/>
    </w:r>
  </w:p>
  <w:p w:rsidR="00295B8A" w:rsidRDefault="00295B8A">
    <w:pPr>
      <w:pStyle w:val="Header"/>
    </w:pPr>
    <w:r>
      <w:t>Dr. Reid, April, 2020</w:t>
    </w:r>
  </w:p>
  <w:p w:rsidR="00865533" w:rsidRDefault="00865533">
    <w:pPr>
      <w:pStyle w:val="Header"/>
    </w:pPr>
  </w:p>
  <w:p w:rsidR="00295B8A" w:rsidRDefault="00295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57"/>
    <w:rsid w:val="00095557"/>
    <w:rsid w:val="000D2D27"/>
    <w:rsid w:val="001B5EB5"/>
    <w:rsid w:val="001D2028"/>
    <w:rsid w:val="002579D4"/>
    <w:rsid w:val="00295B8A"/>
    <w:rsid w:val="002D59EA"/>
    <w:rsid w:val="00550123"/>
    <w:rsid w:val="005F01A5"/>
    <w:rsid w:val="00646B59"/>
    <w:rsid w:val="00725D6F"/>
    <w:rsid w:val="00853EFD"/>
    <w:rsid w:val="00865533"/>
    <w:rsid w:val="008975A1"/>
    <w:rsid w:val="009D2AE8"/>
    <w:rsid w:val="00B422EB"/>
    <w:rsid w:val="00C83454"/>
    <w:rsid w:val="00D4259C"/>
    <w:rsid w:val="00DF687E"/>
    <w:rsid w:val="00E369CD"/>
    <w:rsid w:val="00F9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2EB"/>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B8A"/>
    <w:pPr>
      <w:tabs>
        <w:tab w:val="center" w:pos="4680"/>
        <w:tab w:val="right" w:pos="9360"/>
      </w:tabs>
    </w:pPr>
  </w:style>
  <w:style w:type="character" w:customStyle="1" w:styleId="HeaderChar">
    <w:name w:val="Header Char"/>
    <w:basedOn w:val="DefaultParagraphFont"/>
    <w:link w:val="Header"/>
    <w:uiPriority w:val="99"/>
    <w:rsid w:val="00295B8A"/>
    <w:rPr>
      <w:rFonts w:ascii="Times New Roman" w:hAnsi="Times New Roman" w:cs="Times New Roman"/>
      <w:sz w:val="24"/>
    </w:rPr>
  </w:style>
  <w:style w:type="paragraph" w:styleId="Footer">
    <w:name w:val="footer"/>
    <w:basedOn w:val="Normal"/>
    <w:link w:val="FooterChar"/>
    <w:uiPriority w:val="99"/>
    <w:unhideWhenUsed/>
    <w:rsid w:val="00295B8A"/>
    <w:pPr>
      <w:tabs>
        <w:tab w:val="center" w:pos="4680"/>
        <w:tab w:val="right" w:pos="9360"/>
      </w:tabs>
    </w:pPr>
  </w:style>
  <w:style w:type="character" w:customStyle="1" w:styleId="FooterChar">
    <w:name w:val="Footer Char"/>
    <w:basedOn w:val="DefaultParagraphFont"/>
    <w:link w:val="Footer"/>
    <w:uiPriority w:val="99"/>
    <w:rsid w:val="00295B8A"/>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2EB"/>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B8A"/>
    <w:pPr>
      <w:tabs>
        <w:tab w:val="center" w:pos="4680"/>
        <w:tab w:val="right" w:pos="9360"/>
      </w:tabs>
    </w:pPr>
  </w:style>
  <w:style w:type="character" w:customStyle="1" w:styleId="HeaderChar">
    <w:name w:val="Header Char"/>
    <w:basedOn w:val="DefaultParagraphFont"/>
    <w:link w:val="Header"/>
    <w:uiPriority w:val="99"/>
    <w:rsid w:val="00295B8A"/>
    <w:rPr>
      <w:rFonts w:ascii="Times New Roman" w:hAnsi="Times New Roman" w:cs="Times New Roman"/>
      <w:sz w:val="24"/>
    </w:rPr>
  </w:style>
  <w:style w:type="paragraph" w:styleId="Footer">
    <w:name w:val="footer"/>
    <w:basedOn w:val="Normal"/>
    <w:link w:val="FooterChar"/>
    <w:uiPriority w:val="99"/>
    <w:unhideWhenUsed/>
    <w:rsid w:val="00295B8A"/>
    <w:pPr>
      <w:tabs>
        <w:tab w:val="center" w:pos="4680"/>
        <w:tab w:val="right" w:pos="9360"/>
      </w:tabs>
    </w:pPr>
  </w:style>
  <w:style w:type="character" w:customStyle="1" w:styleId="FooterChar">
    <w:name w:val="Footer Char"/>
    <w:basedOn w:val="DefaultParagraphFont"/>
    <w:link w:val="Footer"/>
    <w:uiPriority w:val="99"/>
    <w:rsid w:val="00295B8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2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23</cp:revision>
  <dcterms:created xsi:type="dcterms:W3CDTF">2020-04-16T15:24:00Z</dcterms:created>
  <dcterms:modified xsi:type="dcterms:W3CDTF">2020-04-16T16:02:00Z</dcterms:modified>
</cp:coreProperties>
</file>